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50D1FC7B" w:rsidR="00151DBB" w:rsidRPr="0000184B" w:rsidRDefault="00160000" w:rsidP="00151DBB">
            <w:pPr>
              <w:tabs>
                <w:tab w:val="left" w:pos="3285"/>
              </w:tabs>
              <w:spacing w:line="276" w:lineRule="auto"/>
              <w:rPr>
                <w:rFonts w:ascii="Helvetica" w:hAnsi="Helvetica"/>
                <w:sz w:val="16"/>
                <w:szCs w:val="16"/>
              </w:rPr>
            </w:pPr>
            <w:r w:rsidRPr="00160000">
              <w:rPr>
                <w:rFonts w:ascii="Helvetica" w:hAnsi="Helvetica"/>
                <w:b/>
                <w:bCs/>
                <w:sz w:val="16"/>
                <w:szCs w:val="16"/>
              </w:rPr>
              <w:t>OXY TRADING 279 (PTY) LTD (IN LIQUIDATION) – B35/2022</w:t>
            </w:r>
          </w:p>
        </w:tc>
      </w:tr>
      <w:tr w:rsidR="00151DBB" w:rsidRPr="00165289" w14:paraId="7D471267" w14:textId="77777777" w:rsidTr="00706BCD">
        <w:trPr>
          <w:trHeight w:val="340"/>
        </w:trPr>
        <w:tc>
          <w:tcPr>
            <w:tcW w:w="11126" w:type="dxa"/>
            <w:gridSpan w:val="13"/>
            <w:vAlign w:val="center"/>
          </w:tcPr>
          <w:p w14:paraId="77C28A78"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(IN LIQUIDATION)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00E4EFFC"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proofErr w:type="gramStart"/>
            <w:r w:rsidRPr="0000184B">
              <w:rPr>
                <w:rFonts w:ascii="Helvetica" w:hAnsi="Helvetica"/>
                <w:sz w:val="16"/>
                <w:szCs w:val="16"/>
              </w:rPr>
              <w:t xml:space="preserve"> </w:t>
            </w:r>
            <w:r w:rsidR="0064684C">
              <w:rPr>
                <w:rFonts w:ascii="Helvetica" w:hAnsi="Helvetica"/>
                <w:sz w:val="16"/>
                <w:szCs w:val="16"/>
              </w:rPr>
              <w:t xml:space="preserve">  </w:t>
            </w:r>
            <w:r w:rsidRPr="0000184B">
              <w:rPr>
                <w:rFonts w:ascii="Helvetica" w:hAnsi="Helvetica"/>
                <w:sz w:val="16"/>
                <w:szCs w:val="16"/>
              </w:rPr>
              <w:t>(</w:t>
            </w:r>
            <w:proofErr w:type="gramEnd"/>
            <w:r w:rsidR="009C715D">
              <w:rPr>
                <w:rFonts w:ascii="Helvetica" w:hAnsi="Helvetica"/>
                <w:sz w:val="16"/>
                <w:szCs w:val="16"/>
              </w:rPr>
              <w:t xml:space="preserve">                                                                                                                                    )</w:t>
            </w:r>
          </w:p>
        </w:tc>
      </w:tr>
      <w:tr w:rsidR="00151DBB" w:rsidRPr="00165289" w14:paraId="2FA7950B" w14:textId="77777777" w:rsidTr="00706BCD">
        <w:trPr>
          <w:trHeight w:val="340"/>
        </w:trPr>
        <w:tc>
          <w:tcPr>
            <w:tcW w:w="11126" w:type="dxa"/>
            <w:gridSpan w:val="13"/>
            <w:vAlign w:val="center"/>
          </w:tcPr>
          <w:p w14:paraId="10372C35" w14:textId="134FC872" w:rsidR="00151DBB" w:rsidRPr="0000184B" w:rsidRDefault="00151DBB" w:rsidP="00151DBB">
            <w:pPr>
              <w:tabs>
                <w:tab w:val="left" w:pos="3285"/>
              </w:tabs>
              <w:spacing w:line="276" w:lineRule="auto"/>
              <w:jc w:val="right"/>
              <w:rPr>
                <w:rFonts w:ascii="Helvetica" w:hAnsi="Helvetica"/>
                <w:sz w:val="16"/>
                <w:szCs w:val="16"/>
              </w:rPr>
            </w:pP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138997BF"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r w:rsidR="00160000">
              <w:rPr>
                <w:rFonts w:ascii="Helvetica" w:hAnsi="Helvetica"/>
                <w:sz w:val="16"/>
                <w:szCs w:val="16"/>
              </w:rPr>
              <w:t xml:space="preserve"> </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41CC166D" w:rsidR="00706055" w:rsidRPr="00160000" w:rsidRDefault="00160000" w:rsidP="00172F4F">
            <w:pPr>
              <w:pStyle w:val="Heading1"/>
              <w:jc w:val="left"/>
              <w:rPr>
                <w:rFonts w:ascii="Helvetica" w:hAnsi="Helvetica"/>
                <w:sz w:val="20"/>
                <w:szCs w:val="22"/>
              </w:rPr>
            </w:pPr>
            <w:r w:rsidRPr="00160000">
              <w:rPr>
                <w:rFonts w:ascii="Helvetica" w:hAnsi="Helvetica"/>
                <w:bCs/>
                <w:sz w:val="20"/>
                <w:szCs w:val="22"/>
                <w:lang w:val="en-US"/>
              </w:rPr>
              <w:t>OXY TRADING 279 (PTY) LTD (IN LIQUIDATION) – B35/2022</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57D0AE24"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160000" w:rsidRPr="00160000">
              <w:rPr>
                <w:rFonts w:ascii="Helvetica" w:hAnsi="Helvetica"/>
                <w:b/>
                <w:bCs/>
                <w:sz w:val="16"/>
                <w:szCs w:val="16"/>
              </w:rPr>
              <w:t xml:space="preserve"> </w:t>
            </w:r>
            <w:r w:rsidR="00160000" w:rsidRPr="00160000">
              <w:rPr>
                <w:rFonts w:ascii="Arial" w:hAnsi="Arial"/>
                <w:b/>
                <w:bCs/>
                <w:spacing w:val="-2"/>
                <w:sz w:val="18"/>
                <w:szCs w:val="18"/>
              </w:rPr>
              <w:t>OXY TRADING 279 (PTY) LTD (IN LIQUIDATION) – B35/2022</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5C2EF4CD"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160000" w:rsidRPr="00160000">
              <w:rPr>
                <w:rFonts w:ascii="Helvetica" w:hAnsi="Helvetica"/>
                <w:b/>
                <w:bCs/>
                <w:sz w:val="16"/>
                <w:szCs w:val="16"/>
              </w:rPr>
              <w:t xml:space="preserve"> </w:t>
            </w:r>
            <w:r w:rsidR="00160000" w:rsidRPr="00160000">
              <w:rPr>
                <w:rFonts w:ascii="Helvetica" w:hAnsi="Helvetica"/>
                <w:b/>
                <w:bCs/>
                <w:spacing w:val="-2"/>
                <w:sz w:val="20"/>
              </w:rPr>
              <w:t>OXY TRADING 279 (PTY) LTD (IN LIQUIDATION) – B35/2022</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66449270" w14:textId="79DEF44B"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63429DE7" w14:textId="6BC32973" w:rsidR="00F46A95" w:rsidRDefault="00F46A95"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Pr>
              <w:rFonts w:ascii="Helvetica" w:hAnsi="Helvetica" w:cs="Helvetica-Light"/>
              <w:color w:val="000000"/>
              <w:sz w:val="16"/>
              <w:szCs w:val="18"/>
              <w:lang w:val="en-GB" w:bidi="en-US"/>
            </w:rPr>
            <w:t>Honey Chambers, Northridge Mall</w:t>
          </w:r>
        </w:p>
        <w:p w14:paraId="3739F3EB" w14:textId="4334EA26" w:rsidR="00F46A95" w:rsidRDefault="00F46A95"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Pr>
              <w:rFonts w:ascii="Helvetica" w:hAnsi="Helvetica" w:cs="Helvetica-Light"/>
              <w:color w:val="000000"/>
              <w:sz w:val="16"/>
              <w:szCs w:val="18"/>
              <w:lang w:val="en-GB" w:bidi="en-US"/>
            </w:rPr>
            <w:t>Kenneth Kaunda Road</w:t>
          </w:r>
        </w:p>
        <w:p w14:paraId="4A8FBE63" w14:textId="415E8EF2" w:rsidR="00F46A95" w:rsidRDefault="00F46A95"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Pr>
              <w:rFonts w:ascii="Helvetica" w:hAnsi="Helvetica" w:cs="Helvetica-Light"/>
              <w:color w:val="000000"/>
              <w:sz w:val="16"/>
              <w:szCs w:val="18"/>
              <w:lang w:val="en-GB" w:bidi="en-US"/>
            </w:rPr>
            <w:t>Bloemfontein, 9301</w:t>
          </w:r>
        </w:p>
        <w:p w14:paraId="5A90C2B7" w14:textId="77777777" w:rsidR="00F46A95" w:rsidRDefault="00F46A95"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p>
        <w:p w14:paraId="6FB2D163" w14:textId="0DB096A4" w:rsidR="00E90C92"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PO Box</w:t>
          </w:r>
          <w:r w:rsidR="00160000">
            <w:rPr>
              <w:rFonts w:ascii="Helvetica" w:hAnsi="Helvetica" w:cs="Helvetica-Light"/>
              <w:color w:val="000000"/>
              <w:sz w:val="16"/>
              <w:szCs w:val="18"/>
              <w:lang w:val="en-GB" w:bidi="en-US"/>
            </w:rPr>
            <w:t xml:space="preserve"> 27</w:t>
          </w:r>
          <w:r w:rsidRPr="003D5BC4">
            <w:rPr>
              <w:rFonts w:ascii="Helvetica" w:hAnsi="Helvetica" w:cs="Helvetica"/>
              <w:noProof/>
              <w:sz w:val="16"/>
              <w:szCs w:val="16"/>
            </w:rPr>
            <w:t xml:space="preserve">, </w:t>
          </w:r>
          <w:r w:rsidR="00160000">
            <w:rPr>
              <w:rFonts w:ascii="Helvetica" w:hAnsi="Helvetica" w:cs="Helvetica"/>
              <w:noProof/>
              <w:sz w:val="16"/>
              <w:szCs w:val="16"/>
            </w:rPr>
            <w:t>Bloemfontein</w:t>
          </w:r>
          <w:r w:rsidRPr="003D5BC4">
            <w:rPr>
              <w:rFonts w:ascii="Helvetica" w:hAnsi="Helvetica" w:cs="Helvetica"/>
              <w:caps/>
              <w:noProof/>
              <w:sz w:val="16"/>
              <w:szCs w:val="16"/>
            </w:rPr>
            <w:t xml:space="preserve">, </w:t>
          </w:r>
          <w:r w:rsidR="00160000">
            <w:rPr>
              <w:rFonts w:ascii="Helvetica" w:hAnsi="Helvetica" w:cs="Helvetica"/>
              <w:caps/>
              <w:noProof/>
              <w:sz w:val="16"/>
              <w:szCs w:val="16"/>
            </w:rPr>
            <w:t>9300</w:t>
          </w:r>
        </w:p>
        <w:p w14:paraId="3A17C916"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3D8A303A" w14:textId="5BEF2962"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00160000">
            <w:rPr>
              <w:rFonts w:ascii="Helvetica" w:hAnsi="Helvetica" w:cs="Helvetica-Light"/>
              <w:sz w:val="16"/>
              <w:szCs w:val="18"/>
              <w:lang w:val="en-GB" w:bidi="en-US"/>
            </w:rPr>
            <w:t>98</w:t>
          </w:r>
          <w:r w:rsidRPr="003D5BC4">
            <w:rPr>
              <w:rFonts w:ascii="Helvetica" w:hAnsi="Helvetica" w:cs="Helvetica"/>
              <w:noProof/>
              <w:sz w:val="16"/>
              <w:szCs w:val="16"/>
            </w:rPr>
            <w:t xml:space="preserve">, </w:t>
          </w:r>
          <w:r w:rsidR="00160000">
            <w:rPr>
              <w:rFonts w:ascii="Helvetica" w:hAnsi="Helvetica" w:cs="Helvetica"/>
              <w:noProof/>
              <w:sz w:val="16"/>
              <w:szCs w:val="16"/>
            </w:rPr>
            <w:t>Bloemfontein</w:t>
          </w:r>
        </w:p>
        <w:p w14:paraId="7968F5BC"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4AA8373D" w14:textId="1DF55475" w:rsidR="00E90C92" w:rsidRPr="003D5BC4" w:rsidRDefault="00E90C92" w:rsidP="00E90C92">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Tel:  +27</w:t>
          </w:r>
          <w:r w:rsidR="00160000">
            <w:rPr>
              <w:rFonts w:ascii="Helvetica" w:hAnsi="Helvetica" w:cs="Helvetica"/>
              <w:color w:val="000000"/>
              <w:sz w:val="16"/>
              <w:szCs w:val="18"/>
              <w:lang w:val="en-GB" w:bidi="en-US"/>
            </w:rPr>
            <w:t xml:space="preserve"> 51 403 6648</w:t>
          </w:r>
        </w:p>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4AB43113" w:rsidR="00D008AC" w:rsidRPr="00E90C92" w:rsidRDefault="00E90C92"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r w:rsidRPr="00610C03">
            <w:rPr>
              <w:rFonts w:ascii="Helvetica" w:hAnsi="Helvetica" w:cs="Helvetica-Light"/>
              <w:color w:val="000000"/>
              <w:sz w:val="16"/>
              <w:szCs w:val="18"/>
              <w:lang w:val="en-GB" w:bidi="en-US"/>
            </w:rPr>
            <w:t xml:space="preserve">E-mail: </w:t>
          </w:r>
          <w:proofErr w:type="spellStart"/>
          <w:r w:rsidR="00160000">
            <w:rPr>
              <w:rFonts w:ascii="Helvetica" w:hAnsi="Helvetica" w:cs="Helvetica-Light"/>
              <w:sz w:val="16"/>
              <w:szCs w:val="18"/>
              <w:lang w:val="en-GB" w:bidi="en-US"/>
            </w:rPr>
            <w:t>gavi</w:t>
          </w:r>
          <w:r w:rsidR="009C715D">
            <w:rPr>
              <w:rFonts w:ascii="Helvetica" w:hAnsi="Helvetica" w:cs="Helvetica-Light"/>
              <w:sz w:val="16"/>
              <w:szCs w:val="18"/>
              <w:lang w:val="en-GB" w:bidi="en-US"/>
            </w:rPr>
            <w:t>n</w:t>
          </w:r>
          <w:proofErr w:type="spellEnd"/>
          <w:r w:rsidRPr="003D5BC4">
            <w:rPr>
              <w:rFonts w:ascii="Helvetica" w:hAnsi="Helvetica" w:cs="Helvetica"/>
              <w:sz w:val="16"/>
            </w:rPr>
            <w:t>@cktrust.co.za</w:t>
          </w: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72884780">
    <w:abstractNumId w:val="0"/>
  </w:num>
  <w:num w:numId="2" w16cid:durableId="94169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000"/>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46A"/>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9C2"/>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15D"/>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6A95"/>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2024-06-12T06:08:00Z</cp:lastPrinted>
  <dcterms:created xsi:type="dcterms:W3CDTF">2024-06-12T06:08:00Z</dcterms:created>
  <dcterms:modified xsi:type="dcterms:W3CDTF">2024-06-12T06:08:00Z</dcterms:modified>
</cp:coreProperties>
</file>